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A2" w:rsidRDefault="006616A2" w:rsidP="006616A2">
      <w:pPr>
        <w:pStyle w:val="berschrift1"/>
      </w:pPr>
      <w:r>
        <w:t xml:space="preserve">Projektbeschreibung </w:t>
      </w:r>
      <w:proofErr w:type="spellStart"/>
      <w:r>
        <w:t>DruReg</w:t>
      </w:r>
      <w:proofErr w:type="spellEnd"/>
    </w:p>
    <w:p w:rsidR="006616A2" w:rsidRDefault="006616A2" w:rsidP="006616A2">
      <w:pPr>
        <w:pStyle w:val="berschrift2"/>
      </w:pPr>
      <w:r>
        <w:t xml:space="preserve">Neuentwicklung und Erweiterung der GDI-DE Registry auf </w:t>
      </w:r>
      <w:proofErr w:type="spellStart"/>
      <w:r>
        <w:t>Drupal</w:t>
      </w:r>
      <w:proofErr w:type="spellEnd"/>
      <w:r>
        <w:t>-Basis</w:t>
      </w:r>
    </w:p>
    <w:p w:rsidR="00F8712C" w:rsidRDefault="00F8712C" w:rsidP="00F8712C">
      <w:pPr>
        <w:pStyle w:val="berschrift3"/>
      </w:pPr>
      <w:r>
        <w:t>Executive Summary</w:t>
      </w:r>
    </w:p>
    <w:p w:rsidR="00B34354" w:rsidRDefault="005F1CEF" w:rsidP="0055470E">
      <w:pPr>
        <w:spacing w:line="300" w:lineRule="auto"/>
        <w:jc w:val="both"/>
        <w:rPr>
          <w:szCs w:val="22"/>
        </w:rPr>
      </w:pPr>
      <w:r>
        <w:t xml:space="preserve">In Ihrer aktuellen Form besitzt die </w:t>
      </w:r>
      <w:r w:rsidRPr="00E863B4">
        <w:t>GDI-DE Registry</w:t>
      </w:r>
      <w:r>
        <w:t xml:space="preserve"> viele Defizite</w:t>
      </w:r>
      <w:r>
        <w:t>, wie z. B.</w:t>
      </w:r>
      <w:r w:rsidRPr="00423075">
        <w:rPr>
          <w:szCs w:val="22"/>
        </w:rPr>
        <w:t xml:space="preserve"> sehr aufwendige und somit kostenintensive Erweiterungen (z. B. weitere Register)</w:t>
      </w:r>
      <w:r>
        <w:rPr>
          <w:szCs w:val="22"/>
        </w:rPr>
        <w:t>,</w:t>
      </w:r>
      <w:r w:rsidRPr="00423075">
        <w:rPr>
          <w:szCs w:val="22"/>
        </w:rPr>
        <w:t xml:space="preserve"> die schlechte Performanz</w:t>
      </w:r>
      <w:r w:rsidRPr="00603BBB">
        <w:rPr>
          <w:szCs w:val="22"/>
        </w:rPr>
        <w:t xml:space="preserve"> des</w:t>
      </w:r>
      <w:r>
        <w:rPr>
          <w:szCs w:val="22"/>
        </w:rPr>
        <w:t xml:space="preserve"> </w:t>
      </w:r>
      <w:r w:rsidRPr="00603BBB">
        <w:rPr>
          <w:szCs w:val="22"/>
        </w:rPr>
        <w:t>Gesamtsystems</w:t>
      </w:r>
      <w:r>
        <w:rPr>
          <w:szCs w:val="22"/>
        </w:rPr>
        <w:t xml:space="preserve"> sowie </w:t>
      </w:r>
      <w:r w:rsidRPr="00603BBB">
        <w:rPr>
          <w:szCs w:val="22"/>
        </w:rPr>
        <w:t>fehlende</w:t>
      </w:r>
      <w:r>
        <w:rPr>
          <w:szCs w:val="22"/>
        </w:rPr>
        <w:t xml:space="preserve"> </w:t>
      </w:r>
      <w:r w:rsidRPr="00603BBB">
        <w:rPr>
          <w:szCs w:val="22"/>
        </w:rPr>
        <w:t>Voraussetzungen für einen hochverfügbaren Betrieb (u. a. fehlende Skalierbarkeit)</w:t>
      </w:r>
      <w:r w:rsidRPr="00423075">
        <w:rPr>
          <w:szCs w:val="22"/>
        </w:rPr>
        <w:t>.</w:t>
      </w:r>
      <w:r w:rsidR="00CC75DF">
        <w:rPr>
          <w:szCs w:val="22"/>
        </w:rPr>
        <w:t xml:space="preserve"> Aufgrund dieser und weiterer Gründe (s. </w:t>
      </w:r>
      <w:r w:rsidR="00CC75DF" w:rsidRPr="00CC75DF">
        <w:rPr>
          <w:szCs w:val="22"/>
        </w:rPr>
        <w:t>Projektskizze</w:t>
      </w:r>
      <w:r w:rsidR="00CC75DF">
        <w:rPr>
          <w:szCs w:val="22"/>
        </w:rPr>
        <w:t xml:space="preserve">) </w:t>
      </w:r>
      <w:r w:rsidR="00CC75DF">
        <w:rPr>
          <w:szCs w:val="22"/>
        </w:rPr>
        <w:t>soll</w:t>
      </w:r>
      <w:r w:rsidR="00CC75DF" w:rsidRPr="00603BBB">
        <w:rPr>
          <w:szCs w:val="22"/>
        </w:rPr>
        <w:t xml:space="preserve"> die </w:t>
      </w:r>
      <w:r w:rsidR="00CC75DF">
        <w:rPr>
          <w:szCs w:val="22"/>
        </w:rPr>
        <w:t xml:space="preserve">GDI-DE </w:t>
      </w:r>
      <w:r w:rsidR="00CC75DF" w:rsidRPr="00603BBB">
        <w:rPr>
          <w:szCs w:val="22"/>
        </w:rPr>
        <w:t>Registry neu entwickelt werden</w:t>
      </w:r>
      <w:r w:rsidR="00CC75DF">
        <w:rPr>
          <w:szCs w:val="22"/>
        </w:rPr>
        <w:t xml:space="preserve">. </w:t>
      </w:r>
      <w:proofErr w:type="spellStart"/>
      <w:r w:rsidR="00B34354">
        <w:rPr>
          <w:szCs w:val="22"/>
        </w:rPr>
        <w:t>Drupal</w:t>
      </w:r>
      <w:proofErr w:type="spellEnd"/>
      <w:r w:rsidR="00B34354">
        <w:rPr>
          <w:szCs w:val="22"/>
        </w:rPr>
        <w:t xml:space="preserve"> bietet sich als Basis an, das es als erweiterbares Content-Management-Framework bereits einige der benötigen Funktionen in grundlegender Form mit</w:t>
      </w:r>
      <w:r w:rsidR="00B34354" w:rsidRPr="00B34354">
        <w:rPr>
          <w:szCs w:val="22"/>
        </w:rPr>
        <w:t xml:space="preserve"> </w:t>
      </w:r>
      <w:r w:rsidR="00B34354">
        <w:rPr>
          <w:szCs w:val="22"/>
        </w:rPr>
        <w:t>bringt</w:t>
      </w:r>
      <w:r w:rsidR="00B34354">
        <w:rPr>
          <w:szCs w:val="22"/>
        </w:rPr>
        <w:t xml:space="preserve"> (</w:t>
      </w:r>
      <w:r w:rsidR="00B34354" w:rsidRPr="00603BBB">
        <w:rPr>
          <w:szCs w:val="22"/>
        </w:rPr>
        <w:t>Skalierbarkeit</w:t>
      </w:r>
      <w:r w:rsidR="00B34354">
        <w:rPr>
          <w:szCs w:val="22"/>
        </w:rPr>
        <w:t>, Recht-Rollen usw.) und eine große Community</w:t>
      </w:r>
      <w:r w:rsidR="00B34354" w:rsidRPr="00B34354">
        <w:rPr>
          <w:szCs w:val="22"/>
        </w:rPr>
        <w:t xml:space="preserve"> </w:t>
      </w:r>
      <w:r w:rsidR="00B34354">
        <w:rPr>
          <w:szCs w:val="22"/>
        </w:rPr>
        <w:t>besitzt</w:t>
      </w:r>
      <w:bookmarkStart w:id="0" w:name="_GoBack"/>
      <w:bookmarkEnd w:id="0"/>
      <w:r w:rsidR="00B34354">
        <w:rPr>
          <w:szCs w:val="22"/>
        </w:rPr>
        <w:t>, sodass regelmäßig Erweiterungen, Verbesserungen und Fehlebehebungen in Form von Updates geliefert werden.</w:t>
      </w:r>
    </w:p>
    <w:p w:rsidR="00F8712C" w:rsidRDefault="00CC75DF" w:rsidP="0055470E">
      <w:pPr>
        <w:spacing w:line="300" w:lineRule="auto"/>
        <w:jc w:val="both"/>
      </w:pPr>
      <w:r>
        <w:rPr>
          <w:szCs w:val="22"/>
        </w:rPr>
        <w:t xml:space="preserve">Die Neuentwicklung soll dabei nicht über eine externe Ausschreibung/Beschaffung erfolgen, sondern intern über drei befristete Stellen. Ein Vorteil eines solchen Vorgehens ist die Möglichkeit des direkten Einwirkens </w:t>
      </w:r>
      <w:r w:rsidRPr="00CC75DF">
        <w:rPr>
          <w:szCs w:val="22"/>
        </w:rPr>
        <w:t xml:space="preserve">auf sich ändernde </w:t>
      </w:r>
      <w:r>
        <w:rPr>
          <w:szCs w:val="22"/>
        </w:rPr>
        <w:t>A</w:t>
      </w:r>
      <w:r w:rsidRPr="00CC75DF">
        <w:rPr>
          <w:szCs w:val="22"/>
        </w:rPr>
        <w:t>nforderungen</w:t>
      </w:r>
      <w:r>
        <w:rPr>
          <w:szCs w:val="22"/>
        </w:rPr>
        <w:t xml:space="preserve"> (seitens der GDI-DE Partner, EU/INSPIRE usw.). Damit können Anforderungen zur P</w:t>
      </w:r>
      <w:r w:rsidRPr="00CC75DF">
        <w:rPr>
          <w:szCs w:val="22"/>
        </w:rPr>
        <w:t>rojektlaufzeit</w:t>
      </w:r>
      <w:r>
        <w:rPr>
          <w:szCs w:val="22"/>
        </w:rPr>
        <w:t xml:space="preserve"> fein abgestimmt werden, womit das Projekt sehr dynamisch bearbeitet wird und jederzeit E</w:t>
      </w:r>
      <w:r w:rsidRPr="00CC75DF">
        <w:rPr>
          <w:szCs w:val="22"/>
        </w:rPr>
        <w:t xml:space="preserve">influss auf </w:t>
      </w:r>
      <w:r>
        <w:rPr>
          <w:szCs w:val="22"/>
        </w:rPr>
        <w:t xml:space="preserve">die </w:t>
      </w:r>
      <w:r w:rsidRPr="00CC75DF">
        <w:rPr>
          <w:szCs w:val="22"/>
        </w:rPr>
        <w:t>Entwicklung</w:t>
      </w:r>
      <w:r>
        <w:rPr>
          <w:szCs w:val="22"/>
        </w:rPr>
        <w:t xml:space="preserve"> ausgeübt werden kann</w:t>
      </w:r>
      <w:r w:rsidRPr="00CC75DF">
        <w:rPr>
          <w:szCs w:val="22"/>
        </w:rPr>
        <w:t xml:space="preserve">, sodass </w:t>
      </w:r>
      <w:r>
        <w:rPr>
          <w:szCs w:val="22"/>
        </w:rPr>
        <w:t xml:space="preserve">das fertige </w:t>
      </w:r>
      <w:r w:rsidRPr="00CC75DF">
        <w:rPr>
          <w:szCs w:val="22"/>
        </w:rPr>
        <w:t xml:space="preserve">Produkt </w:t>
      </w:r>
      <w:r>
        <w:rPr>
          <w:szCs w:val="22"/>
        </w:rPr>
        <w:t>den</w:t>
      </w:r>
      <w:r w:rsidRPr="00CC75DF">
        <w:rPr>
          <w:szCs w:val="22"/>
        </w:rPr>
        <w:t xml:space="preserve"> </w:t>
      </w:r>
      <w:r>
        <w:rPr>
          <w:szCs w:val="22"/>
        </w:rPr>
        <w:t>E</w:t>
      </w:r>
      <w:r w:rsidRPr="00CC75DF">
        <w:rPr>
          <w:szCs w:val="22"/>
        </w:rPr>
        <w:t xml:space="preserve">rwartungen </w:t>
      </w:r>
      <w:r>
        <w:rPr>
          <w:szCs w:val="22"/>
        </w:rPr>
        <w:t xml:space="preserve">vollumfänglich entspricht und die Anforderungen </w:t>
      </w:r>
      <w:r w:rsidRPr="00CC75DF">
        <w:rPr>
          <w:szCs w:val="22"/>
        </w:rPr>
        <w:t>erfüllt</w:t>
      </w:r>
      <w:r>
        <w:rPr>
          <w:szCs w:val="22"/>
        </w:rPr>
        <w:t>.</w:t>
      </w:r>
    </w:p>
    <w:p w:rsidR="00F8712C" w:rsidRDefault="00F8712C" w:rsidP="00F8712C">
      <w:pPr>
        <w:pStyle w:val="berschrift3"/>
      </w:pPr>
      <w:r>
        <w:t>Projekts</w:t>
      </w:r>
      <w:r>
        <w:t>kizze</w:t>
      </w:r>
    </w:p>
    <w:p w:rsidR="00D15FD2" w:rsidRDefault="0023079D" w:rsidP="0055470E">
      <w:pPr>
        <w:spacing w:line="300" w:lineRule="auto"/>
        <w:jc w:val="both"/>
      </w:pPr>
      <w:r w:rsidRPr="00E863B4">
        <w:t xml:space="preserve">Die GDI-DE Registry ist eine der </w:t>
      </w:r>
      <w:r>
        <w:t xml:space="preserve">nationalen technischen Komponenten </w:t>
      </w:r>
      <w:r w:rsidRPr="00E863B4">
        <w:t>der GDI-DE und dient der zentralen Verwaltung und Veröffentlichung geodatenbezogener Inhalte.</w:t>
      </w:r>
      <w:r>
        <w:t xml:space="preserve"> </w:t>
      </w:r>
      <w:r w:rsidR="00D15FD2">
        <w:t xml:space="preserve">In Ihrer aktuellen Form besitzt die </w:t>
      </w:r>
      <w:r w:rsidR="00D15FD2" w:rsidRPr="00E863B4">
        <w:t>GDI-DE Registry</w:t>
      </w:r>
      <w:r w:rsidR="00D15FD2">
        <w:t xml:space="preserve"> viele Defizite</w:t>
      </w:r>
      <w:r>
        <w:t xml:space="preserve">. </w:t>
      </w:r>
      <w:r w:rsidRPr="00423075">
        <w:rPr>
          <w:szCs w:val="22"/>
        </w:rPr>
        <w:t xml:space="preserve">Andauernde und aktuelle Probleme der </w:t>
      </w:r>
      <w:r>
        <w:rPr>
          <w:szCs w:val="22"/>
        </w:rPr>
        <w:t>produktiven</w:t>
      </w:r>
      <w:r w:rsidRPr="00423075">
        <w:rPr>
          <w:szCs w:val="22"/>
        </w:rPr>
        <w:t xml:space="preserve"> Registry-Software sind u. a. sehr aufwendige und somit kostenintensive Erweiterungen (z. B. weitere Register) sowie die schlechte Performanz</w:t>
      </w:r>
      <w:r w:rsidRPr="00603BBB">
        <w:rPr>
          <w:szCs w:val="22"/>
        </w:rPr>
        <w:t xml:space="preserve"> des</w:t>
      </w:r>
      <w:r>
        <w:rPr>
          <w:szCs w:val="22"/>
        </w:rPr>
        <w:t xml:space="preserve"> </w:t>
      </w:r>
      <w:r w:rsidRPr="00603BBB">
        <w:rPr>
          <w:szCs w:val="22"/>
        </w:rPr>
        <w:t>Gesamtsystems</w:t>
      </w:r>
      <w:r w:rsidRPr="00423075">
        <w:rPr>
          <w:szCs w:val="22"/>
        </w:rPr>
        <w:t>. Insbesondere ist dies beobachtbar bei zeitkritischen Anwendungen, wie z. B. dem ID-</w:t>
      </w:r>
      <w:proofErr w:type="spellStart"/>
      <w:r w:rsidRPr="00423075">
        <w:rPr>
          <w:szCs w:val="22"/>
        </w:rPr>
        <w:t>Resolver</w:t>
      </w:r>
      <w:proofErr w:type="spellEnd"/>
      <w:r w:rsidRPr="00423075">
        <w:rPr>
          <w:szCs w:val="22"/>
        </w:rPr>
        <w:t xml:space="preserve"> im Namensraum-Register</w:t>
      </w:r>
      <w:r>
        <w:rPr>
          <w:szCs w:val="22"/>
        </w:rPr>
        <w:t>, der eine Schlüsselrolle bei der Daten-Dienste-Kopplung einnimmt</w:t>
      </w:r>
      <w:r w:rsidRPr="00423075">
        <w:rPr>
          <w:szCs w:val="22"/>
        </w:rPr>
        <w:t xml:space="preserve">. </w:t>
      </w:r>
      <w:r>
        <w:rPr>
          <w:szCs w:val="22"/>
        </w:rPr>
        <w:t>Außerdem könnte d</w:t>
      </w:r>
      <w:r w:rsidRPr="00423075">
        <w:rPr>
          <w:szCs w:val="22"/>
        </w:rPr>
        <w:t>er ID-</w:t>
      </w:r>
      <w:proofErr w:type="spellStart"/>
      <w:r w:rsidRPr="00423075">
        <w:rPr>
          <w:szCs w:val="22"/>
        </w:rPr>
        <w:t>Resolver</w:t>
      </w:r>
      <w:proofErr w:type="spellEnd"/>
      <w:r w:rsidRPr="00423075">
        <w:rPr>
          <w:szCs w:val="22"/>
        </w:rPr>
        <w:t xml:space="preserve"> u. a. das Monitoring erleichtern, wenn bspw. der Regionalschlüssel aus den Metadaten abgeleitet und über den ID-</w:t>
      </w:r>
      <w:proofErr w:type="spellStart"/>
      <w:r w:rsidRPr="00423075">
        <w:rPr>
          <w:szCs w:val="22"/>
        </w:rPr>
        <w:t>Resolver</w:t>
      </w:r>
      <w:proofErr w:type="spellEnd"/>
      <w:r w:rsidRPr="00423075">
        <w:rPr>
          <w:szCs w:val="22"/>
        </w:rPr>
        <w:t xml:space="preserve"> aufgelöst werden </w:t>
      </w:r>
      <w:r>
        <w:rPr>
          <w:szCs w:val="22"/>
        </w:rPr>
        <w:t>würde</w:t>
      </w:r>
      <w:r w:rsidRPr="00423075">
        <w:rPr>
          <w:szCs w:val="22"/>
        </w:rPr>
        <w:t xml:space="preserve">. Diese Vorgehensweise wurde im AK Metadaten am 17.10.2017 in einem Vortrag vorgestellt und diskutiert. </w:t>
      </w:r>
      <w:r>
        <w:rPr>
          <w:szCs w:val="22"/>
        </w:rPr>
        <w:t xml:space="preserve">Darüber hinaus </w:t>
      </w:r>
      <w:r w:rsidRPr="00603BBB">
        <w:rPr>
          <w:szCs w:val="22"/>
        </w:rPr>
        <w:t>fehlen</w:t>
      </w:r>
      <w:r>
        <w:rPr>
          <w:szCs w:val="22"/>
        </w:rPr>
        <w:t xml:space="preserve"> </w:t>
      </w:r>
      <w:r w:rsidRPr="00603BBB">
        <w:rPr>
          <w:szCs w:val="22"/>
        </w:rPr>
        <w:t>der</w:t>
      </w:r>
      <w:r>
        <w:rPr>
          <w:szCs w:val="22"/>
        </w:rPr>
        <w:t xml:space="preserve"> aktuell eingesetzten </w:t>
      </w:r>
      <w:r w:rsidRPr="00423075">
        <w:rPr>
          <w:szCs w:val="22"/>
        </w:rPr>
        <w:t>Registry-Software</w:t>
      </w:r>
      <w:r w:rsidRPr="00603BBB">
        <w:rPr>
          <w:szCs w:val="22"/>
        </w:rPr>
        <w:t xml:space="preserve"> Voraussetzungen für einen hochverfügbaren Betrieb (u. a. fehlende Skalierbarkeit)</w:t>
      </w:r>
      <w:r>
        <w:rPr>
          <w:szCs w:val="22"/>
        </w:rPr>
        <w:t>. Daher soll</w:t>
      </w:r>
      <w:r w:rsidRPr="00603BBB">
        <w:rPr>
          <w:szCs w:val="22"/>
        </w:rPr>
        <w:t xml:space="preserve"> die </w:t>
      </w:r>
      <w:r>
        <w:rPr>
          <w:szCs w:val="22"/>
        </w:rPr>
        <w:t xml:space="preserve">GDI-DE </w:t>
      </w:r>
      <w:r w:rsidRPr="00603BBB">
        <w:rPr>
          <w:szCs w:val="22"/>
        </w:rPr>
        <w:t>Registry neu entwickelt werden</w:t>
      </w:r>
      <w:r w:rsidR="00CC75DF">
        <w:rPr>
          <w:szCs w:val="22"/>
        </w:rPr>
        <w:t>.</w:t>
      </w:r>
    </w:p>
    <w:p w:rsidR="006616A2" w:rsidRPr="00073540" w:rsidRDefault="006616A2" w:rsidP="0055470E">
      <w:pPr>
        <w:spacing w:line="300" w:lineRule="auto"/>
        <w:jc w:val="both"/>
      </w:pPr>
      <w:r w:rsidRPr="00E863B4">
        <w:t xml:space="preserve">Die Verwaltungsprozesse </w:t>
      </w:r>
      <w:r w:rsidR="0055470E">
        <w:t xml:space="preserve">sollen </w:t>
      </w:r>
      <w:r w:rsidR="0023079D">
        <w:t xml:space="preserve">wie bisher auch </w:t>
      </w:r>
      <w:r w:rsidRPr="00E863B4">
        <w:t>der Norm ISO 19135:2005 (</w:t>
      </w:r>
      <w:proofErr w:type="spellStart"/>
      <w:r w:rsidRPr="00E863B4">
        <w:t>Pr</w:t>
      </w:r>
      <w:r w:rsidR="0055470E">
        <w:t>ocedures</w:t>
      </w:r>
      <w:proofErr w:type="spellEnd"/>
      <w:r w:rsidR="0055470E">
        <w:t xml:space="preserve"> </w:t>
      </w:r>
      <w:proofErr w:type="spellStart"/>
      <w:r w:rsidR="0055470E">
        <w:t>for</w:t>
      </w:r>
      <w:proofErr w:type="spellEnd"/>
      <w:r w:rsidR="0055470E">
        <w:t xml:space="preserve"> item </w:t>
      </w:r>
      <w:proofErr w:type="spellStart"/>
      <w:r w:rsidR="0055470E">
        <w:t>registration</w:t>
      </w:r>
      <w:proofErr w:type="spellEnd"/>
      <w:r w:rsidR="0055470E">
        <w:t>) in</w:t>
      </w:r>
      <w:r w:rsidRPr="00E863B4">
        <w:t xml:space="preserve"> vereinfacht</w:t>
      </w:r>
      <w:r w:rsidR="0055470E">
        <w:t>er Form folgen.</w:t>
      </w:r>
      <w:r w:rsidR="0023079D">
        <w:t xml:space="preserve"> </w:t>
      </w:r>
      <w:r w:rsidRPr="00073540">
        <w:t xml:space="preserve">Gemäß Leistungskatalog für den Betrieb der GDI-DE sind folgende Register </w:t>
      </w:r>
      <w:r w:rsidR="0055470E">
        <w:t>zu entwickeln</w:t>
      </w:r>
      <w:r w:rsidRPr="00073540">
        <w:t xml:space="preserve">: </w:t>
      </w:r>
    </w:p>
    <w:p w:rsidR="006616A2" w:rsidRPr="00073540" w:rsidRDefault="006616A2" w:rsidP="008B1253">
      <w:pPr>
        <w:pStyle w:val="Listenabsatz"/>
        <w:numPr>
          <w:ilvl w:val="0"/>
          <w:numId w:val="1"/>
        </w:numPr>
        <w:spacing w:line="300" w:lineRule="auto"/>
      </w:pPr>
      <w:r w:rsidRPr="00073540">
        <w:t>Namensraum-Register zur Verwaltung von Namensräumen für INSPIRE-IDs</w:t>
      </w:r>
    </w:p>
    <w:p w:rsidR="006616A2" w:rsidRPr="00073540" w:rsidRDefault="006616A2" w:rsidP="008B1253">
      <w:pPr>
        <w:pStyle w:val="Listenabsatz"/>
        <w:numPr>
          <w:ilvl w:val="0"/>
          <w:numId w:val="1"/>
        </w:numPr>
        <w:spacing w:line="300" w:lineRule="auto"/>
      </w:pPr>
      <w:r>
        <w:t>Codel</w:t>
      </w:r>
      <w:r w:rsidRPr="00073540">
        <w:t>isten-Register zur Verwaltung und Bereitstellung von Codelisten</w:t>
      </w:r>
    </w:p>
    <w:p w:rsidR="006616A2" w:rsidRPr="00073540" w:rsidRDefault="006616A2" w:rsidP="008B1253">
      <w:pPr>
        <w:pStyle w:val="Listenabsatz"/>
        <w:numPr>
          <w:ilvl w:val="0"/>
          <w:numId w:val="1"/>
        </w:numPr>
        <w:spacing w:line="300" w:lineRule="auto"/>
      </w:pPr>
      <w:r w:rsidRPr="00073540">
        <w:t>Organisation</w:t>
      </w:r>
      <w:r w:rsidR="0055470E">
        <w:t>en</w:t>
      </w:r>
      <w:r w:rsidRPr="00073540">
        <w:t xml:space="preserve">-Register zur Verwaltung der GDI-DE-Koordinierungsstruktur und aller für die Prozesse der GDI-DE Registry relevanter Organisationen </w:t>
      </w:r>
    </w:p>
    <w:p w:rsidR="006616A2" w:rsidRPr="00073540" w:rsidRDefault="006616A2" w:rsidP="008B1253">
      <w:pPr>
        <w:pStyle w:val="Listenabsatz"/>
        <w:numPr>
          <w:ilvl w:val="0"/>
          <w:numId w:val="1"/>
        </w:numPr>
        <w:spacing w:line="300" w:lineRule="auto"/>
      </w:pPr>
      <w:r w:rsidRPr="00073540">
        <w:lastRenderedPageBreak/>
        <w:t>CRS-Register zur Verwaltung und Veröffentlichung von Parametern zu Koordinatenreferenzsystemen und CRS-Transformationen</w:t>
      </w:r>
    </w:p>
    <w:p w:rsidR="006616A2" w:rsidRPr="00073540" w:rsidRDefault="006616A2" w:rsidP="008B1253">
      <w:pPr>
        <w:pStyle w:val="Listenabsatz"/>
        <w:numPr>
          <w:ilvl w:val="0"/>
          <w:numId w:val="1"/>
        </w:numPr>
        <w:spacing w:line="300" w:lineRule="auto"/>
      </w:pPr>
      <w:r w:rsidRPr="00073540">
        <w:t>Schema-Register zur Verwaltung und Bereitstellung von Encodin</w:t>
      </w:r>
      <w:r w:rsidR="0055470E">
        <w:t>g-Vorschriften für Datenmodelle</w:t>
      </w:r>
    </w:p>
    <w:p w:rsidR="006616A2" w:rsidRDefault="006616A2" w:rsidP="0055470E">
      <w:pPr>
        <w:spacing w:line="300" w:lineRule="auto"/>
        <w:jc w:val="both"/>
      </w:pPr>
    </w:p>
    <w:p w:rsidR="00367A07" w:rsidRDefault="00367A07" w:rsidP="00367A07">
      <w:pPr>
        <w:spacing w:line="300" w:lineRule="auto"/>
        <w:jc w:val="both"/>
      </w:pPr>
      <w:r>
        <w:t xml:space="preserve">Die Abbildung der </w:t>
      </w:r>
      <w:r w:rsidRPr="00E863B4">
        <w:t>ISO 19135</w:t>
      </w:r>
      <w:r>
        <w:t xml:space="preserve">-Prozesse stellt neben der heterogenen, technischen Ausgestaltung (das </w:t>
      </w:r>
      <w:r w:rsidRPr="00073540">
        <w:t>Namensraum-Register</w:t>
      </w:r>
      <w:r>
        <w:t xml:space="preserve"> mit ID-</w:t>
      </w:r>
      <w:proofErr w:type="spellStart"/>
      <w:r>
        <w:t>Resolver</w:t>
      </w:r>
      <w:proofErr w:type="spellEnd"/>
      <w:r>
        <w:t xml:space="preserve"> unterscheidet sich grundlegend bspw. vom Codel</w:t>
      </w:r>
      <w:r w:rsidRPr="00073540">
        <w:t>isten-Register</w:t>
      </w:r>
      <w:r>
        <w:t>, das (hierarchische) Codelisten(-</w:t>
      </w:r>
      <w:proofErr w:type="spellStart"/>
      <w:r>
        <w:t>werte</w:t>
      </w:r>
      <w:proofErr w:type="spellEnd"/>
      <w:r>
        <w:t>) in verschiedenen Formate und Repräsentationen zurückgibt) eine der komplexesten Herausforderungen die Neuentwicklung dar. Das beginnt beim detaillierten, tiefgehenden Rechte- und Rollenkonzept, bei dem z. B. Zuständigkeiten über Organisationen abgebildet werden, das heißt, dass Organisationen konkrete Zuständigkeiten bzw. Aufträge an Nutzer</w:t>
      </w:r>
      <w:r w:rsidRPr="00367A07">
        <w:t xml:space="preserve"> </w:t>
      </w:r>
      <w:r>
        <w:t xml:space="preserve">vergeben (siehe </w:t>
      </w:r>
      <w:r>
        <w:fldChar w:fldCharType="begin"/>
      </w:r>
      <w:r>
        <w:instrText xml:space="preserve"> REF _Ref513210694 \h </w:instrText>
      </w:r>
      <w:r>
        <w:fldChar w:fldCharType="separate"/>
      </w:r>
      <w:r>
        <w:t xml:space="preserve">Abbildung </w:t>
      </w:r>
      <w:r>
        <w:rPr>
          <w:noProof/>
        </w:rPr>
        <w:t>1</w:t>
      </w:r>
      <w:r>
        <w:fldChar w:fldCharType="end"/>
      </w:r>
      <w:r>
        <w:t>).</w:t>
      </w:r>
    </w:p>
    <w:p w:rsidR="00B34354" w:rsidRDefault="00B34354" w:rsidP="00367A07">
      <w:pPr>
        <w:spacing w:line="300" w:lineRule="auto"/>
        <w:jc w:val="both"/>
      </w:pPr>
    </w:p>
    <w:p w:rsidR="00B34354" w:rsidRDefault="00B34354" w:rsidP="00B34354">
      <w:pPr>
        <w:keepNext/>
        <w:spacing w:line="300" w:lineRule="auto"/>
        <w:jc w:val="both"/>
      </w:pPr>
      <w:r>
        <w:rPr>
          <w:noProof/>
        </w:rPr>
        <w:drawing>
          <wp:inline distT="0" distB="0" distL="0" distR="0" wp14:anchorId="6A6F5980" wp14:editId="4CC97996">
            <wp:extent cx="5087060" cy="44773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übersicht.png"/>
                    <pic:cNvPicPr/>
                  </pic:nvPicPr>
                  <pic:blipFill>
                    <a:blip r:embed="rId8">
                      <a:extLst>
                        <a:ext uri="{28A0092B-C50C-407E-A947-70E740481C1C}">
                          <a14:useLocalDpi xmlns:a14="http://schemas.microsoft.com/office/drawing/2010/main" val="0"/>
                        </a:ext>
                      </a:extLst>
                    </a:blip>
                    <a:stretch>
                      <a:fillRect/>
                    </a:stretch>
                  </pic:blipFill>
                  <pic:spPr>
                    <a:xfrm>
                      <a:off x="0" y="0"/>
                      <a:ext cx="5087060" cy="4477375"/>
                    </a:xfrm>
                    <a:prstGeom prst="rect">
                      <a:avLst/>
                    </a:prstGeom>
                  </pic:spPr>
                </pic:pic>
              </a:graphicData>
            </a:graphic>
          </wp:inline>
        </w:drawing>
      </w:r>
    </w:p>
    <w:p w:rsidR="00B34354" w:rsidRDefault="00B34354" w:rsidP="00B34354">
      <w:pPr>
        <w:pStyle w:val="Beschriftung"/>
        <w:jc w:val="both"/>
      </w:pPr>
      <w:bookmarkStart w:id="1" w:name="_Ref513210694"/>
      <w:r>
        <w:t xml:space="preserve">Abbildung </w:t>
      </w:r>
      <w:r>
        <w:fldChar w:fldCharType="begin"/>
      </w:r>
      <w:r>
        <w:instrText xml:space="preserve"> SEQ Abbildung \* ARABIC </w:instrText>
      </w:r>
      <w:r>
        <w:fldChar w:fldCharType="separate"/>
      </w:r>
      <w:r>
        <w:rPr>
          <w:noProof/>
        </w:rPr>
        <w:t>1</w:t>
      </w:r>
      <w:r>
        <w:rPr>
          <w:noProof/>
        </w:rPr>
        <w:fldChar w:fldCharType="end"/>
      </w:r>
      <w:bookmarkEnd w:id="1"/>
      <w:r>
        <w:t>: Übersicht zentrale Komponenten und deren Zusammenwirken</w:t>
      </w:r>
    </w:p>
    <w:p w:rsidR="00B34354" w:rsidRDefault="00B34354" w:rsidP="00367A07">
      <w:pPr>
        <w:spacing w:line="300" w:lineRule="auto"/>
        <w:jc w:val="both"/>
      </w:pPr>
    </w:p>
    <w:p w:rsidR="002F45E0" w:rsidRDefault="002F45E0" w:rsidP="00367A07">
      <w:pPr>
        <w:spacing w:line="300" w:lineRule="auto"/>
        <w:jc w:val="both"/>
      </w:pPr>
      <w:r>
        <w:t xml:space="preserve">Um Informationen bzw. Informationseinheiten (sogenannte </w:t>
      </w:r>
      <w:r w:rsidRPr="002F45E0">
        <w:rPr>
          <w:i/>
        </w:rPr>
        <w:t>Items</w:t>
      </w:r>
      <w:r>
        <w:t xml:space="preserve">, vgl. </w:t>
      </w:r>
      <w:r>
        <w:fldChar w:fldCharType="begin"/>
      </w:r>
      <w:r>
        <w:instrText xml:space="preserve"> REF _Ref513210694 \h </w:instrText>
      </w:r>
      <w:r>
        <w:fldChar w:fldCharType="separate"/>
      </w:r>
      <w:r>
        <w:t xml:space="preserve">Abbildung </w:t>
      </w:r>
      <w:r>
        <w:rPr>
          <w:noProof/>
        </w:rPr>
        <w:t>1</w:t>
      </w:r>
      <w:r>
        <w:fldChar w:fldCharType="end"/>
      </w:r>
      <w:r>
        <w:t xml:space="preserve"> oben) in den einzelnen Registern zu ändern, muss ein </w:t>
      </w:r>
      <w:r w:rsidRPr="00E863B4">
        <w:t>ISO 19135</w:t>
      </w:r>
      <w:r>
        <w:t xml:space="preserve">-konformer </w:t>
      </w:r>
      <w:proofErr w:type="spellStart"/>
      <w:r>
        <w:t>Proposal</w:t>
      </w:r>
      <w:proofErr w:type="spellEnd"/>
      <w:r>
        <w:t>-Prozess umgesetzt werden. Dabei müssen folgende vier Änderungsmöglichkeiten umgesetzt werden:</w:t>
      </w:r>
    </w:p>
    <w:p w:rsidR="002F45E0" w:rsidRDefault="002F45E0" w:rsidP="002F45E0">
      <w:pPr>
        <w:pStyle w:val="Listenabsatz"/>
        <w:numPr>
          <w:ilvl w:val="0"/>
          <w:numId w:val="4"/>
        </w:numPr>
        <w:spacing w:line="300" w:lineRule="auto"/>
        <w:jc w:val="both"/>
      </w:pPr>
      <w:r>
        <w:t>Addition: Hinzufügen eines neuen Items.</w:t>
      </w:r>
    </w:p>
    <w:p w:rsidR="002F45E0" w:rsidRDefault="002F45E0" w:rsidP="002F45E0">
      <w:pPr>
        <w:pStyle w:val="Listenabsatz"/>
        <w:numPr>
          <w:ilvl w:val="0"/>
          <w:numId w:val="4"/>
        </w:numPr>
        <w:spacing w:line="300" w:lineRule="auto"/>
        <w:jc w:val="both"/>
      </w:pPr>
      <w:proofErr w:type="spellStart"/>
      <w:r>
        <w:t>Clarification</w:t>
      </w:r>
      <w:proofErr w:type="spellEnd"/>
      <w:r>
        <w:t>: Klarstellung oder kleinere Modifikationen eines Items.</w:t>
      </w:r>
    </w:p>
    <w:p w:rsidR="002F45E0" w:rsidRDefault="002F45E0" w:rsidP="002F45E0">
      <w:pPr>
        <w:pStyle w:val="Listenabsatz"/>
        <w:numPr>
          <w:ilvl w:val="0"/>
          <w:numId w:val="4"/>
        </w:numPr>
        <w:spacing w:line="300" w:lineRule="auto"/>
        <w:jc w:val="both"/>
      </w:pPr>
      <w:r>
        <w:lastRenderedPageBreak/>
        <w:t>Supersession: Größere Modifikationen, die die Identität des Items verändern, müssen mittels einer Ersetzung eines Items realisiert werden. Dazu wird ein neues Item mit einer neuen ID angelegt und einem Datum ab welchem die Änderung gültig wird. Das neue Item ist vom ersetzten Item aus navigierbar, sodass die Ersetzung nachvollzogen werden kann.</w:t>
      </w:r>
    </w:p>
    <w:p w:rsidR="002F45E0" w:rsidRDefault="002F45E0" w:rsidP="002F45E0">
      <w:pPr>
        <w:pStyle w:val="Listenabsatz"/>
        <w:numPr>
          <w:ilvl w:val="0"/>
          <w:numId w:val="4"/>
        </w:numPr>
        <w:spacing w:line="300" w:lineRule="auto"/>
        <w:jc w:val="both"/>
      </w:pPr>
      <w:proofErr w:type="spellStart"/>
      <w:r>
        <w:t>Retirement</w:t>
      </w:r>
      <w:proofErr w:type="spellEnd"/>
      <w:r>
        <w:t>: Stilllegung eines Items, d.h. es wird für „ungültig“ erklärt, verbleibt aber im System.</w:t>
      </w:r>
    </w:p>
    <w:p w:rsidR="00367A07" w:rsidRDefault="00367A07" w:rsidP="0055470E">
      <w:pPr>
        <w:spacing w:line="300" w:lineRule="auto"/>
        <w:jc w:val="both"/>
      </w:pPr>
    </w:p>
    <w:p w:rsidR="00367A07" w:rsidRDefault="002F45E0" w:rsidP="0055470E">
      <w:pPr>
        <w:spacing w:line="300" w:lineRule="auto"/>
        <w:jc w:val="both"/>
      </w:pPr>
      <w:r>
        <w:t xml:space="preserve">Auch bei diesem </w:t>
      </w:r>
      <w:proofErr w:type="spellStart"/>
      <w:r>
        <w:t>Proposal</w:t>
      </w:r>
      <w:proofErr w:type="spellEnd"/>
      <w:r>
        <w:t xml:space="preserve">-Prozess spielt das Rechte- und Rollenkonzept eine entscheidende Rolle, da Änderungen nur durch Genehmigung einer zuständigen Stelle (sog. </w:t>
      </w:r>
      <w:r w:rsidRPr="002F45E0">
        <w:rPr>
          <w:i/>
        </w:rPr>
        <w:t>Control-Body</w:t>
      </w:r>
      <w:r>
        <w:t>) erwirkt werden können. Außerdem müssen die komplexen Transitionen an dieser Stelle konzipiert und entsprechend umgesetzt werden, also wann, in welchen und wie von einem Zustand im Prozess zum nächsten übergangen werden kann.</w:t>
      </w:r>
    </w:p>
    <w:p w:rsidR="002F45E0" w:rsidRDefault="002F45E0" w:rsidP="0055470E">
      <w:pPr>
        <w:spacing w:line="300" w:lineRule="auto"/>
        <w:jc w:val="both"/>
      </w:pPr>
    </w:p>
    <w:p w:rsidR="00EB3B5C" w:rsidRDefault="00EB3B5C" w:rsidP="00EB3B5C">
      <w:pPr>
        <w:spacing w:line="300" w:lineRule="auto"/>
        <w:jc w:val="both"/>
      </w:pPr>
      <w:r>
        <w:t xml:space="preserve">Das INSPIRE </w:t>
      </w:r>
      <w:r w:rsidRPr="00073540">
        <w:t>Monitoring</w:t>
      </w:r>
      <w:r>
        <w:t xml:space="preserve"> wird weiterhin über die aktuell verfügbare GDI-DE Registry erfolgen, sodass in der Neuentwicklung kein </w:t>
      </w:r>
      <w:r w:rsidRPr="00073540">
        <w:t>Monitoring-Register</w:t>
      </w:r>
      <w:r>
        <w:t xml:space="preserve"> benötigt wird. Daher wird es auch in Zukunft nötig sein, den </w:t>
      </w:r>
      <w:r w:rsidRPr="00073540">
        <w:t>Monitoring</w:t>
      </w:r>
      <w:r>
        <w:t xml:space="preserve">-Client (der letztlich das </w:t>
      </w:r>
      <w:r w:rsidRPr="00073540">
        <w:t>Monitoring-Register</w:t>
      </w:r>
      <w:r>
        <w:t xml:space="preserve"> befüllt) zu pflegen und weiterzuentwickeln. Da sowohl </w:t>
      </w:r>
      <w:r w:rsidRPr="00073540">
        <w:t>Monitoring</w:t>
      </w:r>
      <w:r>
        <w:t xml:space="preserve">-Client als auch </w:t>
      </w:r>
      <w:r w:rsidRPr="00073540">
        <w:t>Monitoring-Register</w:t>
      </w:r>
      <w:r>
        <w:t xml:space="preserve"> auf das </w:t>
      </w:r>
      <w:r w:rsidRPr="00073540">
        <w:t>Organisation</w:t>
      </w:r>
      <w:r>
        <w:t>en</w:t>
      </w:r>
      <w:r w:rsidRPr="00073540">
        <w:t>-Register</w:t>
      </w:r>
      <w:r>
        <w:t xml:space="preserve"> zugreifen, muss ein Weg gefunden werden, dies zwischen den beiden Instanzen zu harmonisieren.</w:t>
      </w:r>
    </w:p>
    <w:p w:rsidR="006616A2" w:rsidRDefault="00EB3B5C" w:rsidP="00EB3B5C">
      <w:pPr>
        <w:spacing w:line="300" w:lineRule="auto"/>
        <w:jc w:val="both"/>
      </w:pPr>
      <w:r>
        <w:t xml:space="preserve">Hier und auch für die zu entwickelnde </w:t>
      </w:r>
      <w:proofErr w:type="spellStart"/>
      <w:r>
        <w:t>Reimplementierung</w:t>
      </w:r>
      <w:proofErr w:type="spellEnd"/>
      <w:r>
        <w:t xml:space="preserve"> wird es zu erhöhtem Supportaufwand kommen. Einerseits um Funktionalitäten mit den Bedarfsträgern (fein) abzustimmen und andererseits um Fehler zu beheben (sowohl in der </w:t>
      </w:r>
      <w:proofErr w:type="spellStart"/>
      <w:r>
        <w:t>Reimplementierung</w:t>
      </w:r>
      <w:proofErr w:type="spellEnd"/>
      <w:r>
        <w:t xml:space="preserve"> als auch im </w:t>
      </w:r>
      <w:r w:rsidRPr="00073540">
        <w:t>Monitoring</w:t>
      </w:r>
      <w:r>
        <w:t xml:space="preserve">-Client bzw. </w:t>
      </w:r>
      <w:r w:rsidRPr="00073540">
        <w:t>Monitoring-Register</w:t>
      </w:r>
      <w:r>
        <w:t>).</w:t>
      </w:r>
    </w:p>
    <w:p w:rsidR="00F8712C" w:rsidRDefault="00F8712C" w:rsidP="00EB3B5C">
      <w:pPr>
        <w:spacing w:line="300" w:lineRule="auto"/>
        <w:jc w:val="both"/>
      </w:pPr>
    </w:p>
    <w:p w:rsidR="00F8712C" w:rsidRDefault="00F8712C" w:rsidP="00F8712C">
      <w:pPr>
        <w:pStyle w:val="berschrift3"/>
      </w:pPr>
      <w:r w:rsidRPr="00F8712C">
        <w:t>Aufgabenbeschreibung</w:t>
      </w:r>
      <w:r>
        <w:t>en</w:t>
      </w:r>
    </w:p>
    <w:p w:rsidR="00F8712C" w:rsidRDefault="00C85749" w:rsidP="00EB3B5C">
      <w:pPr>
        <w:spacing w:line="300" w:lineRule="auto"/>
        <w:jc w:val="both"/>
      </w:pPr>
      <w:r>
        <w:t xml:space="preserve">Aufgrund des beschriebenen </w:t>
      </w:r>
      <w:r>
        <w:t>erhöhte</w:t>
      </w:r>
      <w:r>
        <w:t>n</w:t>
      </w:r>
      <w:r>
        <w:t xml:space="preserve"> Supportaufwand</w:t>
      </w:r>
      <w:r>
        <w:t xml:space="preserve">s wird eine der Stellen nahezu Vollzeit damit beschäftigt sein. Gegebenenfalls darüber hinausgehende verfügbare Kapazitäten werden in Organisation und Aufbereitung der Dokumentation investiert. Eine weitere Stelle wird sich mit der Umsetzung des komplexen </w:t>
      </w:r>
      <w:r w:rsidRPr="00E863B4">
        <w:t>ISO 19135</w:t>
      </w:r>
      <w:r>
        <w:t>-konformen</w:t>
      </w:r>
      <w:r>
        <w:t xml:space="preserve"> </w:t>
      </w:r>
      <w:proofErr w:type="spellStart"/>
      <w:r>
        <w:t>Proposal</w:t>
      </w:r>
      <w:proofErr w:type="spellEnd"/>
      <w:r>
        <w:t>-Prozess</w:t>
      </w:r>
      <w:r>
        <w:t xml:space="preserve">es inklusive des Recht-Rollen-Konzeptes mit </w:t>
      </w:r>
      <w:proofErr w:type="spellStart"/>
      <w:r>
        <w:t>Drupal</w:t>
      </w:r>
      <w:proofErr w:type="spellEnd"/>
      <w:r>
        <w:t xml:space="preserve"> auseinandersetzen. Hierbei werden immer wieder Abstimmungen mit den Nutzern (Länder) und der </w:t>
      </w:r>
      <w:proofErr w:type="spellStart"/>
      <w:r>
        <w:t>Kst</w:t>
      </w:r>
      <w:proofErr w:type="spellEnd"/>
      <w:r>
        <w:t>. GDI-DE nötig sein.</w:t>
      </w:r>
      <w:r w:rsidR="00DB36C1">
        <w:t xml:space="preserve"> Die dritte Stelle wird eng mit der vorhergenannten zusammenarbeiten, sich aber mit der Ausgestaltung und Implementierung der eingangs genannten Register beschäftigen. Dazu gehört auch die Umsetzung von Schnittstellen (APIs, REST und/oder SOAP) und die Anbindung bzw. Einbindung in das R</w:t>
      </w:r>
      <w:r w:rsidR="00DB36C1" w:rsidRPr="00DB36C1">
        <w:t xml:space="preserve">egister </w:t>
      </w:r>
      <w:proofErr w:type="spellStart"/>
      <w:r w:rsidR="00DB36C1">
        <w:t>F</w:t>
      </w:r>
      <w:r w:rsidR="00DB36C1" w:rsidRPr="00DB36C1">
        <w:t>ederation</w:t>
      </w:r>
      <w:proofErr w:type="spellEnd"/>
      <w:r w:rsidR="00DB36C1">
        <w:t xml:space="preserve">-Vorhaben seitens </w:t>
      </w:r>
      <w:r w:rsidR="00DB36C1" w:rsidRPr="00DB36C1">
        <w:t xml:space="preserve">INSPIRE </w:t>
      </w:r>
      <w:r w:rsidR="00DB36C1">
        <w:t xml:space="preserve">und deren </w:t>
      </w:r>
      <w:r w:rsidR="00DB36C1" w:rsidRPr="00DB36C1">
        <w:t>Re3gistry</w:t>
      </w:r>
      <w:r w:rsidR="00DB36C1">
        <w:t>.</w:t>
      </w:r>
    </w:p>
    <w:sectPr w:rsidR="00F8712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5C" w:rsidRDefault="00EB3B5C" w:rsidP="00EB3B5C">
      <w:pPr>
        <w:spacing w:line="240" w:lineRule="auto"/>
      </w:pPr>
      <w:r>
        <w:separator/>
      </w:r>
    </w:p>
  </w:endnote>
  <w:endnote w:type="continuationSeparator" w:id="0">
    <w:p w:rsidR="00EB3B5C" w:rsidRDefault="00EB3B5C" w:rsidP="00EB3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5C" w:rsidRDefault="00EB3B5C" w:rsidP="00EB3B5C">
    <w:pPr>
      <w:pStyle w:val="Fuzeile"/>
      <w:jc w:val="center"/>
    </w:pPr>
    <w:r>
      <w:t xml:space="preserve">Seite </w:t>
    </w:r>
    <w:r>
      <w:rPr>
        <w:b/>
        <w:bCs/>
      </w:rPr>
      <w:fldChar w:fldCharType="begin"/>
    </w:r>
    <w:r>
      <w:rPr>
        <w:b/>
        <w:bCs/>
      </w:rPr>
      <w:instrText>PAGE  \* Arabic  \* MERGEFORMAT</w:instrText>
    </w:r>
    <w:r>
      <w:rPr>
        <w:b/>
        <w:bCs/>
      </w:rPr>
      <w:fldChar w:fldCharType="separate"/>
    </w:r>
    <w:r w:rsidR="00B34354">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B34354">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5C" w:rsidRDefault="00EB3B5C" w:rsidP="00EB3B5C">
      <w:pPr>
        <w:spacing w:line="240" w:lineRule="auto"/>
      </w:pPr>
      <w:r>
        <w:separator/>
      </w:r>
    </w:p>
  </w:footnote>
  <w:footnote w:type="continuationSeparator" w:id="0">
    <w:p w:rsidR="00EB3B5C" w:rsidRDefault="00EB3B5C" w:rsidP="00EB3B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5C" w:rsidRPr="00EB3B5C" w:rsidRDefault="00EB3B5C" w:rsidP="00EB3B5C">
    <w:pPr>
      <w:pStyle w:val="Kopfzeile"/>
      <w:jc w:val="right"/>
      <w:rPr>
        <w:color w:val="7F7F7F" w:themeColor="text1" w:themeTint="80"/>
      </w:rPr>
    </w:pPr>
    <w:r w:rsidRPr="00EB3B5C">
      <w:rPr>
        <w:color w:val="7F7F7F" w:themeColor="text1" w:themeTint="80"/>
      </w:rPr>
      <w:t xml:space="preserve">Projektbeschreibung </w:t>
    </w:r>
    <w:proofErr w:type="spellStart"/>
    <w:r w:rsidRPr="00EB3B5C">
      <w:rPr>
        <w:color w:val="7F7F7F" w:themeColor="text1" w:themeTint="80"/>
      </w:rPr>
      <w:t>DruReg</w:t>
    </w:r>
    <w:proofErr w:type="spellEnd"/>
    <w:r w:rsidRPr="00EB3B5C">
      <w:rPr>
        <w:color w:val="7F7F7F" w:themeColor="text1" w:themeTint="80"/>
      </w:rPr>
      <w:tab/>
    </w:r>
    <w:r w:rsidRPr="00EB3B5C">
      <w:rPr>
        <w:color w:val="7F7F7F" w:themeColor="text1" w:themeTint="80"/>
      </w:rPr>
      <w:tab/>
    </w:r>
    <w:proofErr w:type="spellStart"/>
    <w:r w:rsidRPr="00EB3B5C">
      <w:rPr>
        <w:color w:val="7F7F7F" w:themeColor="text1" w:themeTint="80"/>
      </w:rPr>
      <w:t>Ch</w:t>
    </w:r>
    <w:proofErr w:type="spellEnd"/>
    <w:r w:rsidRPr="00EB3B5C">
      <w:rPr>
        <w:color w:val="7F7F7F" w:themeColor="text1" w:themeTint="80"/>
      </w:rPr>
      <w:t>. Seip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D24D9"/>
    <w:multiLevelType w:val="hybridMultilevel"/>
    <w:tmpl w:val="B50876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A94ACC"/>
    <w:multiLevelType w:val="hybridMultilevel"/>
    <w:tmpl w:val="7160DE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0D2C8D"/>
    <w:multiLevelType w:val="hybridMultilevel"/>
    <w:tmpl w:val="B2B41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9D020E"/>
    <w:multiLevelType w:val="hybridMultilevel"/>
    <w:tmpl w:val="E70A21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A2"/>
    <w:rsid w:val="0023079D"/>
    <w:rsid w:val="002F45E0"/>
    <w:rsid w:val="00367A07"/>
    <w:rsid w:val="0055470E"/>
    <w:rsid w:val="005F1CEF"/>
    <w:rsid w:val="006616A2"/>
    <w:rsid w:val="006B6966"/>
    <w:rsid w:val="008B1253"/>
    <w:rsid w:val="008D1DFD"/>
    <w:rsid w:val="0098271C"/>
    <w:rsid w:val="00B34354"/>
    <w:rsid w:val="00C85749"/>
    <w:rsid w:val="00CC75DF"/>
    <w:rsid w:val="00D15FD2"/>
    <w:rsid w:val="00D2543E"/>
    <w:rsid w:val="00DB36C1"/>
    <w:rsid w:val="00DC5E5B"/>
    <w:rsid w:val="00E97B21"/>
    <w:rsid w:val="00EB3B5C"/>
    <w:rsid w:val="00F24340"/>
    <w:rsid w:val="00F87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359E1-2CBA-492E-866F-18AC289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6A2"/>
    <w:pPr>
      <w:spacing w:after="0" w:line="480" w:lineRule="auto"/>
    </w:pPr>
    <w:rPr>
      <w:rFonts w:eastAsia="Times New Roman" w:cs="Times New Roman"/>
      <w:szCs w:val="24"/>
      <w:lang w:eastAsia="de-DE"/>
    </w:rPr>
  </w:style>
  <w:style w:type="paragraph" w:styleId="berschrift1">
    <w:name w:val="heading 1"/>
    <w:basedOn w:val="Standard"/>
    <w:next w:val="Standard"/>
    <w:link w:val="berschrift1Zchn"/>
    <w:uiPriority w:val="9"/>
    <w:qFormat/>
    <w:rsid w:val="006616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616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97B2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16A2"/>
    <w:pPr>
      <w:ind w:left="708"/>
    </w:pPr>
  </w:style>
  <w:style w:type="character" w:customStyle="1" w:styleId="berschrift1Zchn">
    <w:name w:val="Überschrift 1 Zchn"/>
    <w:basedOn w:val="Absatz-Standardschriftart"/>
    <w:link w:val="berschrift1"/>
    <w:uiPriority w:val="9"/>
    <w:rsid w:val="006616A2"/>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rsid w:val="006616A2"/>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rsid w:val="00E97B21"/>
    <w:rPr>
      <w:rFonts w:asciiTheme="majorHAnsi" w:eastAsiaTheme="majorEastAsia" w:hAnsiTheme="majorHAnsi" w:cstheme="majorBidi"/>
      <w:color w:val="1F4D78" w:themeColor="accent1" w:themeShade="7F"/>
      <w:sz w:val="24"/>
      <w:szCs w:val="24"/>
      <w:lang w:eastAsia="de-DE"/>
    </w:rPr>
  </w:style>
  <w:style w:type="paragraph" w:styleId="Beschriftung">
    <w:name w:val="caption"/>
    <w:basedOn w:val="Standard"/>
    <w:next w:val="Standard"/>
    <w:uiPriority w:val="35"/>
    <w:unhideWhenUsed/>
    <w:qFormat/>
    <w:rsid w:val="00367A07"/>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EB3B5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3B5C"/>
    <w:rPr>
      <w:rFonts w:eastAsia="Times New Roman" w:cs="Times New Roman"/>
      <w:szCs w:val="24"/>
      <w:lang w:eastAsia="de-DE"/>
    </w:rPr>
  </w:style>
  <w:style w:type="paragraph" w:styleId="Fuzeile">
    <w:name w:val="footer"/>
    <w:basedOn w:val="Standard"/>
    <w:link w:val="FuzeileZchn"/>
    <w:uiPriority w:val="99"/>
    <w:unhideWhenUsed/>
    <w:rsid w:val="00EB3B5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3B5C"/>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433">
      <w:bodyDiv w:val="1"/>
      <w:marLeft w:val="0"/>
      <w:marRight w:val="0"/>
      <w:marTop w:val="0"/>
      <w:marBottom w:val="0"/>
      <w:divBdr>
        <w:top w:val="none" w:sz="0" w:space="0" w:color="auto"/>
        <w:left w:val="none" w:sz="0" w:space="0" w:color="auto"/>
        <w:bottom w:val="none" w:sz="0" w:space="0" w:color="auto"/>
        <w:right w:val="none" w:sz="0" w:space="0" w:color="auto"/>
      </w:divBdr>
    </w:div>
    <w:div w:id="689335236">
      <w:bodyDiv w:val="1"/>
      <w:marLeft w:val="0"/>
      <w:marRight w:val="0"/>
      <w:marTop w:val="0"/>
      <w:marBottom w:val="0"/>
      <w:divBdr>
        <w:top w:val="none" w:sz="0" w:space="0" w:color="auto"/>
        <w:left w:val="none" w:sz="0" w:space="0" w:color="auto"/>
        <w:bottom w:val="none" w:sz="0" w:space="0" w:color="auto"/>
        <w:right w:val="none" w:sz="0" w:space="0" w:color="auto"/>
      </w:divBdr>
    </w:div>
    <w:div w:id="1408574678">
      <w:bodyDiv w:val="1"/>
      <w:marLeft w:val="0"/>
      <w:marRight w:val="0"/>
      <w:marTop w:val="0"/>
      <w:marBottom w:val="0"/>
      <w:divBdr>
        <w:top w:val="none" w:sz="0" w:space="0" w:color="auto"/>
        <w:left w:val="none" w:sz="0" w:space="0" w:color="auto"/>
        <w:bottom w:val="none" w:sz="0" w:space="0" w:color="auto"/>
        <w:right w:val="none" w:sz="0" w:space="0" w:color="auto"/>
      </w:divBdr>
    </w:div>
    <w:div w:id="20716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8525-847A-4C10-B2D7-624BC58B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BKG</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Seip, Christian</dc:creator>
  <cp:keywords/>
  <dc:description/>
  <cp:lastModifiedBy>Seip, Christian</cp:lastModifiedBy>
  <cp:revision>5</cp:revision>
  <dcterms:created xsi:type="dcterms:W3CDTF">2018-05-07T14:16:00Z</dcterms:created>
  <dcterms:modified xsi:type="dcterms:W3CDTF">2018-05-09T11:56:00Z</dcterms:modified>
</cp:coreProperties>
</file>